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E632C">
      <w:pPr>
        <w:pStyle w:val="2"/>
        <w:bidi w:val="0"/>
        <w:rPr>
          <w:rFonts w:hint="eastAsia"/>
          <w:b w:val="0"/>
          <w:bCs w:val="0"/>
          <w:szCs w:val="32"/>
        </w:rPr>
      </w:pPr>
      <w:bookmarkStart w:id="0" w:name="_Toc15091"/>
      <w:r>
        <w:rPr>
          <w:rFonts w:hint="eastAsia"/>
        </w:rPr>
        <w:t>湖北文理学院会计档案管理办法</w:t>
      </w:r>
      <w:bookmarkEnd w:id="0"/>
    </w:p>
    <w:p w14:paraId="39497AF9">
      <w:pPr>
        <w:pStyle w:val="3"/>
        <w:bidi w:val="0"/>
        <w:rPr>
          <w:rFonts w:hint="eastAsia"/>
        </w:rPr>
      </w:pPr>
      <w:r>
        <w:rPr>
          <w:rFonts w:hint="eastAsia"/>
        </w:rPr>
        <w:t>（校政发财〔2014〕8号   2014年9月22日）</w:t>
      </w:r>
    </w:p>
    <w:p w14:paraId="5FEFF8D8">
      <w:pPr>
        <w:jc w:val="center"/>
        <w:rPr>
          <w:b/>
          <w:bCs/>
          <w:sz w:val="28"/>
        </w:rPr>
      </w:pPr>
    </w:p>
    <w:p w14:paraId="51B25F94">
      <w:pPr>
        <w:bidi w:val="0"/>
        <w:rPr>
          <w:rFonts w:hint="eastAsia"/>
        </w:rPr>
      </w:pPr>
      <w:r>
        <w:rPr>
          <w:rFonts w:hint="eastAsia" w:ascii="黑体" w:hAnsi="黑体" w:eastAsia="黑体" w:cs="黑体"/>
        </w:rPr>
        <w:t>第一条</w:t>
      </w:r>
      <w:r>
        <w:rPr>
          <w:rFonts w:hint="eastAsia"/>
        </w:rPr>
        <w:t xml:space="preserve">  为加强会计档案管理，保证学校会计档案妥善保管，有序存放、方便查阅、严防毁损、散失和泄密，根据《中华人民共和国会计法》和财政部、国家档案局发布的《会计档案管理办法》，结合学校实际，制定本办法。</w:t>
      </w:r>
    </w:p>
    <w:p w14:paraId="6A151601">
      <w:pPr>
        <w:bidi w:val="0"/>
        <w:rPr>
          <w:rFonts w:hint="eastAsia"/>
        </w:rPr>
      </w:pPr>
      <w:r>
        <w:rPr>
          <w:rFonts w:hint="eastAsia" w:ascii="黑体" w:hAnsi="黑体" w:eastAsia="黑体" w:cs="黑体"/>
        </w:rPr>
        <w:t>第二条</w:t>
      </w:r>
      <w:r>
        <w:rPr>
          <w:rFonts w:hint="eastAsia"/>
        </w:rPr>
        <w:t xml:space="preserve">  会计档案的范围。会计档案是指会计凭证、会计账簿和财务报告等会计核算专业材料，是记录和反映单位经济业务的重要历史资料和证据。具体包括：</w:t>
      </w:r>
      <w:r>
        <w:br w:type="textWrapping"/>
      </w:r>
      <w:r>
        <w:t xml:space="preserve">  </w:t>
      </w:r>
      <w:r>
        <w:rPr>
          <w:rFonts w:hint="eastAsia"/>
        </w:rPr>
        <w:t xml:space="preserve"> （一）会计凭证类：原始凭证（包括自制原始凭证、外来原始凭证、原始凭证汇总表等），记账凭证，汇总凭证，其他会计凭证。</w:t>
      </w:r>
    </w:p>
    <w:p w14:paraId="6446866C">
      <w:pPr>
        <w:bidi w:val="0"/>
        <w:rPr>
          <w:rFonts w:hint="eastAsia"/>
        </w:rPr>
      </w:pPr>
      <w:r>
        <w:rPr>
          <w:rFonts w:hint="eastAsia"/>
        </w:rPr>
        <w:t>（二）会计账簿类：总账，明细帐，日记账，固定资产卡片，辅助账簿，其他会计账簿。</w:t>
      </w:r>
    </w:p>
    <w:p w14:paraId="0FD15BD3">
      <w:pPr>
        <w:bidi w:val="0"/>
        <w:rPr>
          <w:rFonts w:hint="eastAsia"/>
        </w:rPr>
      </w:pPr>
      <w:r>
        <w:rPr>
          <w:rFonts w:hint="eastAsia"/>
        </w:rPr>
        <w:t>（三）财务报告类：月度、季度、年度财务报告，包括会计报表、附表、附注及文字说明，其他财务报告。</w:t>
      </w:r>
    </w:p>
    <w:p w14:paraId="49AAC3AC">
      <w:pPr>
        <w:bidi w:val="0"/>
        <w:rPr>
          <w:rFonts w:hint="eastAsia"/>
        </w:rPr>
      </w:pPr>
      <w:r>
        <w:rPr>
          <w:rFonts w:hint="eastAsia"/>
        </w:rPr>
        <w:t>（四）其他类：银行存款余额调节表，银行对账单，工资清册，磁盘、光盘等磁性介质上的会计数据、程序文件，会计档案移交清册，会计档案保存清册，会计档案销毁清册，其他应当保存的会计核算专业资料。</w:t>
      </w:r>
    </w:p>
    <w:p w14:paraId="6D655309">
      <w:pPr>
        <w:bidi w:val="0"/>
        <w:rPr>
          <w:rFonts w:hint="eastAsia"/>
        </w:rPr>
      </w:pPr>
      <w:r>
        <w:rPr>
          <w:rFonts w:hint="eastAsia" w:ascii="黑体" w:hAnsi="黑体" w:eastAsia="黑体" w:cs="黑体"/>
        </w:rPr>
        <w:t>第三条</w:t>
      </w:r>
      <w:r>
        <w:rPr>
          <w:rFonts w:hint="eastAsia"/>
        </w:rPr>
        <w:t xml:space="preserve">  学校财务部门需设专人对每年形成的会计档案按要求负责整理、立卷，装订成册，编制会计档案保管清册。出纳人员不得兼管会计档案。</w:t>
      </w:r>
    </w:p>
    <w:p w14:paraId="408F9581">
      <w:pPr>
        <w:bidi w:val="0"/>
        <w:rPr>
          <w:rFonts w:hint="eastAsia"/>
        </w:rPr>
      </w:pPr>
      <w:r>
        <w:rPr>
          <w:rFonts w:hint="eastAsia" w:ascii="黑体" w:hAnsi="黑体" w:eastAsia="黑体" w:cs="黑体"/>
        </w:rPr>
        <w:t>第四条</w:t>
      </w:r>
      <w:r>
        <w:rPr>
          <w:rFonts w:hint="eastAsia"/>
        </w:rPr>
        <w:t xml:space="preserve">  会计档案的装订</w:t>
      </w:r>
    </w:p>
    <w:p w14:paraId="3276C908">
      <w:pPr>
        <w:bidi w:val="0"/>
        <w:rPr>
          <w:rFonts w:hint="eastAsia"/>
        </w:rPr>
      </w:pPr>
      <w:r>
        <w:rPr>
          <w:rFonts w:hint="eastAsia"/>
        </w:rPr>
        <w:t>（一）会计档案的整理立卷。会计年度终了后，对会计资料进行整理立卷，会计档案的整理采用“三统一”的办法，即：分类标准统一、档案形成统一、管理要求统一，并分门别类按各卷顺序编号。</w:t>
      </w:r>
    </w:p>
    <w:p w14:paraId="68F2483A">
      <w:pPr>
        <w:bidi w:val="0"/>
        <w:rPr>
          <w:rFonts w:hint="eastAsia"/>
        </w:rPr>
      </w:pPr>
      <w:r>
        <w:rPr>
          <w:rFonts w:hint="eastAsia"/>
        </w:rPr>
        <w:t>（二）会计档案的装订</w:t>
      </w:r>
    </w:p>
    <w:p w14:paraId="1C616F78">
      <w:pPr>
        <w:bidi w:val="0"/>
        <w:rPr>
          <w:rFonts w:hint="eastAsia"/>
        </w:rPr>
      </w:pPr>
      <w:r>
        <w:rPr>
          <w:rFonts w:hint="eastAsia"/>
        </w:rPr>
        <w:t>1、会计凭证的装订。一般每月装订一次，装订前要分类整理，按序排列，检查日数、编号是否齐全；检查凭证附件及记账凭证上有关人员印章是否齐全。装订要整齐牢固，装订后在每本封面上填写好凭证种类、起止号、凭证张数、会计主管人员和装订人员签章，按顺序号入柜。</w:t>
      </w:r>
    </w:p>
    <w:p w14:paraId="0605E32D">
      <w:pPr>
        <w:bidi w:val="0"/>
        <w:rPr>
          <w:rFonts w:hint="eastAsia"/>
        </w:rPr>
      </w:pPr>
      <w:r>
        <w:rPr>
          <w:rFonts w:hint="eastAsia"/>
        </w:rPr>
        <w:t>2、会计账簿的装订。各种会计账簿年度结账后，除跨年使用的账簿外，其他账簿都应按时立卷。装订前要正确分类、核对账户是否相符，账页是否齐全，装订时不得将多栏式、三栏式活页账混装，在账本封面上填写好账目的种类，编好卷号，会计主管人员和装订人员签章。账簿装订后应牢固，平整，不得有折角、缺角、错页、掉页、加空白纸的现象。</w:t>
      </w:r>
    </w:p>
    <w:p w14:paraId="3BB3EFE9">
      <w:pPr>
        <w:bidi w:val="0"/>
        <w:rPr>
          <w:rFonts w:hint="eastAsia"/>
        </w:rPr>
      </w:pPr>
      <w:r>
        <w:rPr>
          <w:rFonts w:hint="eastAsia"/>
        </w:rPr>
        <w:t>3、财务报告的装订。财务报告编制完成后及时报送，并按月装订成册，谨防丢失。装订顺序为：报表封面、编制说明及财务分析、各种报表按编号顺序排列，按保管期限编制卷号，并检查报表上签章是否齐全。</w:t>
      </w:r>
    </w:p>
    <w:p w14:paraId="35432442">
      <w:pPr>
        <w:bidi w:val="0"/>
        <w:rPr>
          <w:rFonts w:hint="eastAsia"/>
        </w:rPr>
      </w:pPr>
      <w:r>
        <w:rPr>
          <w:rFonts w:hint="eastAsia" w:ascii="黑体" w:hAnsi="黑体" w:eastAsia="黑体" w:cs="黑体"/>
        </w:rPr>
        <w:t>第五条</w:t>
      </w:r>
      <w:r>
        <w:rPr>
          <w:rFonts w:hint="eastAsia"/>
        </w:rPr>
        <w:t xml:space="preserve">  会计档案的保管。当年形成的会计档案，在会计年度终了后，由计财处保管一年，期满之后原则上应由计财处编制清册移交学校档案馆保管。会计档案保管的要求主要有：</w:t>
      </w:r>
    </w:p>
    <w:p w14:paraId="16D6CC07">
      <w:pPr>
        <w:bidi w:val="0"/>
        <w:rPr>
          <w:rFonts w:hint="eastAsia"/>
        </w:rPr>
      </w:pPr>
      <w:r>
        <w:rPr>
          <w:rFonts w:hint="eastAsia"/>
        </w:rPr>
        <w:t>（一）会计档案的移交手续</w:t>
      </w:r>
    </w:p>
    <w:p w14:paraId="792D7EAF">
      <w:pPr>
        <w:bidi w:val="0"/>
        <w:rPr>
          <w:rFonts w:hint="eastAsia"/>
        </w:rPr>
      </w:pPr>
      <w:r>
        <w:rPr>
          <w:rFonts w:hint="eastAsia"/>
        </w:rPr>
        <w:t>1、学校计财处将会计档案移交学校档案馆时，原则上应当保持原卷册的封装，个别需要拆封重新整理的，档案馆应会同计财处档案管理人员共同拆封整理，以分清责任。</w:t>
      </w:r>
    </w:p>
    <w:p w14:paraId="5AD4150D">
      <w:pPr>
        <w:bidi w:val="0"/>
        <w:rPr>
          <w:rFonts w:hint="eastAsia"/>
        </w:rPr>
      </w:pPr>
      <w:r>
        <w:rPr>
          <w:rFonts w:hint="eastAsia"/>
        </w:rPr>
        <w:t>2、办理移交时由计财处档案管理人员编制移交清册，填写移交清单，交接人员按移交清册和交接清单项目检查无误后签章。</w:t>
      </w:r>
    </w:p>
    <w:p w14:paraId="6D190092">
      <w:pPr>
        <w:bidi w:val="0"/>
        <w:rPr>
          <w:rFonts w:hint="eastAsia"/>
        </w:rPr>
      </w:pPr>
      <w:r>
        <w:rPr>
          <w:rFonts w:hint="eastAsia"/>
        </w:rPr>
        <w:t>（二）会计档案的保管要求</w:t>
      </w:r>
    </w:p>
    <w:p w14:paraId="45720D7E">
      <w:pPr>
        <w:bidi w:val="0"/>
        <w:rPr>
          <w:rFonts w:hint="eastAsia"/>
        </w:rPr>
      </w:pPr>
      <w:r>
        <w:rPr>
          <w:rFonts w:hint="eastAsia"/>
        </w:rPr>
        <w:t>1、会计档案应设置归档登记簿、档案目录登记簿、档案借阅登记簿，严防毁坏、损失、散失和泄密。</w:t>
      </w:r>
    </w:p>
    <w:p w14:paraId="2AF2FDD4">
      <w:pPr>
        <w:bidi w:val="0"/>
        <w:rPr>
          <w:rFonts w:hint="eastAsia"/>
        </w:rPr>
      </w:pPr>
      <w:r>
        <w:rPr>
          <w:rFonts w:hint="eastAsia"/>
        </w:rPr>
        <w:t>2、会计档案应存放在安全、干燥、防水、通风、透光的地方，保持清洁卫生，以防虫蛀。</w:t>
      </w:r>
    </w:p>
    <w:p w14:paraId="6A1D1802">
      <w:pPr>
        <w:bidi w:val="0"/>
        <w:rPr>
          <w:rFonts w:hint="eastAsia"/>
        </w:rPr>
      </w:pPr>
      <w:r>
        <w:rPr>
          <w:rFonts w:hint="eastAsia"/>
        </w:rPr>
        <w:t>3、会计电算化档案保管要注意防盗、防磁，加强安全措施。</w:t>
      </w:r>
    </w:p>
    <w:p w14:paraId="6CE44E8A">
      <w:pPr>
        <w:bidi w:val="0"/>
        <w:rPr>
          <w:rFonts w:hint="eastAsia"/>
        </w:rPr>
      </w:pPr>
      <w:r>
        <w:rPr>
          <w:rFonts w:hint="eastAsia"/>
        </w:rPr>
        <w:t>（三）会计档案的保管期限。会计档案的保管期限分为永久、定期两类。凡是在会计核算中形成的，记述和反映会计核算的，对工作总结、考查和研究经济活动具有长远的利用价值的会计档案，应永久保存。定期保管期限分别为3年、5年、10年、15年和25年5种。会计档案的保管期限，从会计年度终了后的第一天算起。（详见附表）</w:t>
      </w:r>
    </w:p>
    <w:p w14:paraId="2E03B235">
      <w:pPr>
        <w:bidi w:val="0"/>
        <w:rPr>
          <w:rFonts w:hint="eastAsia"/>
        </w:rPr>
      </w:pPr>
      <w:r>
        <w:rPr>
          <w:rFonts w:hint="eastAsia" w:ascii="黑体" w:hAnsi="黑体" w:eastAsia="黑体" w:cs="黑体"/>
        </w:rPr>
        <w:t>第六条</w:t>
      </w:r>
      <w:r>
        <w:rPr>
          <w:rFonts w:hint="eastAsia"/>
        </w:rPr>
        <w:t xml:space="preserve">  会计档案的借阅</w:t>
      </w:r>
    </w:p>
    <w:p w14:paraId="38914995">
      <w:pPr>
        <w:bidi w:val="0"/>
        <w:rPr>
          <w:rFonts w:hint="eastAsia"/>
        </w:rPr>
      </w:pPr>
      <w:r>
        <w:rPr>
          <w:rFonts w:hint="eastAsia"/>
        </w:rPr>
        <w:t>（一）会计档案为本单位提供利用，原则上不得借出，若有特殊需要，须经校领导及会计主管人员批准。</w:t>
      </w:r>
    </w:p>
    <w:p w14:paraId="69C20D75">
      <w:pPr>
        <w:bidi w:val="0"/>
        <w:rPr>
          <w:rFonts w:hint="eastAsia"/>
        </w:rPr>
      </w:pPr>
      <w:r>
        <w:rPr>
          <w:rFonts w:hint="eastAsia"/>
        </w:rPr>
        <w:t>（二）外部借阅会计档案时，应持有单位正式介绍信，经会计主管人员及单位领导人批准后，方可办理借阅手续；单位内部人员借阅会计档案时应经会计主管人员及有关会计人员同意后办理借阅手续。借阅人应认真填写档案借阅登记簿，将借阅人姓名、单位、日期、内容、归期等情况登记清楚。</w:t>
      </w:r>
    </w:p>
    <w:p w14:paraId="64C41608">
      <w:pPr>
        <w:bidi w:val="0"/>
        <w:rPr>
          <w:rFonts w:hint="eastAsia"/>
        </w:rPr>
      </w:pPr>
      <w:r>
        <w:rPr>
          <w:rFonts w:hint="eastAsia"/>
        </w:rPr>
        <w:t>（三）借阅会计档案的人员不得在案卷中乱画、标记、拆散原卷册，也不得涂改抽换，携带外出或复制原件（如有特殊情况，须经校领导批准后方可复制原件）。</w:t>
      </w:r>
    </w:p>
    <w:p w14:paraId="368DFA39">
      <w:pPr>
        <w:bidi w:val="0"/>
        <w:rPr>
          <w:rFonts w:hint="eastAsia"/>
        </w:rPr>
      </w:pPr>
      <w:r>
        <w:rPr>
          <w:rFonts w:hint="eastAsia"/>
        </w:rPr>
        <w:t>（四）借出的会计档案，会计档案管理人员要按期如数收回，并办理注销借阅手续。</w:t>
      </w:r>
    </w:p>
    <w:p w14:paraId="6EEEA1A4">
      <w:pPr>
        <w:bidi w:val="0"/>
        <w:rPr>
          <w:rFonts w:hint="eastAsia"/>
        </w:rPr>
      </w:pPr>
      <w:r>
        <w:rPr>
          <w:rFonts w:hint="eastAsia" w:ascii="黑体" w:hAnsi="黑体" w:eastAsia="黑体" w:cs="黑体"/>
        </w:rPr>
        <w:t>第七条</w:t>
      </w:r>
      <w:r>
        <w:rPr>
          <w:rFonts w:hint="eastAsia"/>
        </w:rPr>
        <w:t xml:space="preserve">  会计档案的销毁。对于保管期满的会计档案可按一定程序予以销毁。</w:t>
      </w:r>
    </w:p>
    <w:p w14:paraId="37058B89">
      <w:pPr>
        <w:bidi w:val="0"/>
        <w:rPr>
          <w:rFonts w:hint="eastAsia"/>
        </w:rPr>
      </w:pPr>
      <w:r>
        <w:rPr>
          <w:rFonts w:hint="eastAsia"/>
        </w:rPr>
        <w:t>（一）由学校档案馆会同计财处提出销毁意见，共同鉴定、严格审查，编制会计档案销毁清册，列明销毁会计档案的名称、卷号、册数、起止年度和档案编号、应保管期限、销毁时间等内容。</w:t>
      </w:r>
    </w:p>
    <w:p w14:paraId="079D1CE4">
      <w:pPr>
        <w:bidi w:val="0"/>
        <w:rPr>
          <w:rFonts w:hint="eastAsia"/>
        </w:rPr>
      </w:pPr>
      <w:r>
        <w:rPr>
          <w:rFonts w:hint="eastAsia"/>
        </w:rPr>
        <w:t>（二）单位负责人在会计档案销毁清册上签署意见。</w:t>
      </w:r>
    </w:p>
    <w:p w14:paraId="2E608EAA">
      <w:pPr>
        <w:bidi w:val="0"/>
        <w:rPr>
          <w:rFonts w:hint="eastAsia"/>
        </w:rPr>
      </w:pPr>
      <w:r>
        <w:rPr>
          <w:rFonts w:hint="eastAsia"/>
        </w:rPr>
        <w:t>（三）销毁会计档案时，应由档案馆和计财处共同派员监销。</w:t>
      </w:r>
    </w:p>
    <w:p w14:paraId="06DE695D">
      <w:pPr>
        <w:bidi w:val="0"/>
        <w:rPr>
          <w:rFonts w:hint="eastAsia"/>
        </w:rPr>
      </w:pPr>
      <w:r>
        <w:rPr>
          <w:rFonts w:hint="eastAsia"/>
        </w:rPr>
        <w:t>（四）监销人在销毁会计档案前，应当按照会计档案销毁清册所列内容清点核对所要销毁的会计档案；销毁后，应当在会计档案销毁清册上签名盖章，并将监销情况报告单位负责人。</w:t>
      </w:r>
    </w:p>
    <w:p w14:paraId="5C02D5EF">
      <w:pPr>
        <w:bidi w:val="0"/>
        <w:rPr>
          <w:rFonts w:hint="eastAsia"/>
        </w:rPr>
      </w:pPr>
      <w:r>
        <w:rPr>
          <w:rFonts w:hint="eastAsia" w:ascii="黑体" w:hAnsi="黑体" w:eastAsia="黑体" w:cs="黑体"/>
        </w:rPr>
        <w:t>第八条</w:t>
      </w:r>
      <w:r>
        <w:rPr>
          <w:rFonts w:hint="eastAsia"/>
        </w:rPr>
        <w:t xml:space="preserve">  保管期满但未结清的债权债务原始凭证和涉及其它未了事项的原始凭证，不得销毁，应当单独抽出立卷，保管到未了事项完结时为止。</w:t>
      </w:r>
    </w:p>
    <w:p w14:paraId="76382538">
      <w:pPr>
        <w:bidi w:val="0"/>
        <w:rPr>
          <w:rFonts w:hint="eastAsia"/>
        </w:rPr>
      </w:pPr>
      <w:r>
        <w:rPr>
          <w:rFonts w:hint="eastAsia" w:ascii="黑体" w:hAnsi="黑体" w:eastAsia="黑体" w:cs="黑体"/>
        </w:rPr>
        <w:t>第九条</w:t>
      </w:r>
      <w:r>
        <w:rPr>
          <w:rFonts w:hint="eastAsia"/>
        </w:rPr>
        <w:t xml:space="preserve">  单位合并后，原各单位的会计档案应当由合并后的单位统一保管。</w:t>
      </w:r>
    </w:p>
    <w:p w14:paraId="11A66FAB">
      <w:pPr>
        <w:bidi w:val="0"/>
        <w:rPr>
          <w:rFonts w:hint="eastAsia"/>
        </w:rPr>
      </w:pPr>
      <w:r>
        <w:rPr>
          <w:rFonts w:hint="eastAsia" w:ascii="黑体" w:hAnsi="黑体" w:eastAsia="黑体" w:cs="黑体"/>
        </w:rPr>
        <w:t>第十条</w:t>
      </w:r>
      <w:r>
        <w:rPr>
          <w:rFonts w:hint="eastAsia"/>
        </w:rPr>
        <w:t xml:space="preserve">  预算、计划、制度等文件材料，应当执行文书档案管理规定，不适用本办法。</w:t>
      </w:r>
    </w:p>
    <w:p w14:paraId="7F7FF3FD">
      <w:pPr>
        <w:bidi w:val="0"/>
        <w:rPr>
          <w:rFonts w:hint="eastAsia"/>
        </w:rPr>
      </w:pPr>
      <w:r>
        <w:rPr>
          <w:rFonts w:hint="eastAsia" w:ascii="黑体" w:hAnsi="黑体" w:eastAsia="黑体" w:cs="黑体"/>
        </w:rPr>
        <w:t xml:space="preserve">第十一条 </w:t>
      </w:r>
      <w:r>
        <w:rPr>
          <w:rFonts w:hint="eastAsia"/>
        </w:rPr>
        <w:t xml:space="preserve"> 本办法由学校计财处负责解释。</w:t>
      </w:r>
    </w:p>
    <w:p w14:paraId="32164D96">
      <w:pPr>
        <w:bidi w:val="0"/>
        <w:ind w:left="0" w:leftChars="0" w:firstLine="0" w:firstLineChars="0"/>
        <w:rPr>
          <w:rFonts w:hint="eastAsia"/>
        </w:rPr>
      </w:pPr>
      <w:r>
        <w:rPr>
          <w:rFonts w:hint="eastAsia"/>
        </w:rPr>
        <w:t>附件：事业单位会计档案保管期限表</w:t>
      </w:r>
    </w:p>
    <w:p w14:paraId="7461EA77">
      <w:pPr>
        <w:spacing w:line="240" w:lineRule="auto"/>
        <w:ind w:firstLine="2249" w:firstLineChars="800"/>
        <w:jc w:val="both"/>
        <w:rPr>
          <w:rFonts w:hint="eastAsia" w:ascii="宋体" w:hAnsi="宋体" w:cs="宋体"/>
          <w:b/>
          <w:bCs/>
          <w:sz w:val="28"/>
          <w:szCs w:val="28"/>
        </w:rPr>
      </w:pPr>
      <w:r>
        <w:rPr>
          <w:rFonts w:hint="eastAsia" w:ascii="宋体" w:hAnsi="宋体" w:cs="宋体"/>
          <w:b/>
          <w:bCs/>
          <w:sz w:val="28"/>
          <w:szCs w:val="28"/>
        </w:rPr>
        <w:t>事业单位会计档案保管期限表</w:t>
      </w:r>
    </w:p>
    <w:tbl>
      <w:tblPr>
        <w:tblStyle w:val="4"/>
        <w:tblW w:w="6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388"/>
        <w:gridCol w:w="1123"/>
        <w:gridCol w:w="1966"/>
      </w:tblGrid>
      <w:tr w14:paraId="6133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1" w:type="dxa"/>
            <w:noWrap w:val="0"/>
            <w:vAlign w:val="center"/>
          </w:tcPr>
          <w:p w14:paraId="1BCFBD73">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序号</w:t>
            </w:r>
          </w:p>
        </w:tc>
        <w:tc>
          <w:tcPr>
            <w:tcW w:w="2388" w:type="dxa"/>
            <w:noWrap w:val="0"/>
            <w:vAlign w:val="center"/>
          </w:tcPr>
          <w:p w14:paraId="442870AA">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档案名称</w:t>
            </w:r>
          </w:p>
        </w:tc>
        <w:tc>
          <w:tcPr>
            <w:tcW w:w="1123" w:type="dxa"/>
            <w:noWrap w:val="0"/>
            <w:vAlign w:val="center"/>
          </w:tcPr>
          <w:p w14:paraId="6059DE1C">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保管期限</w:t>
            </w:r>
          </w:p>
        </w:tc>
        <w:tc>
          <w:tcPr>
            <w:tcW w:w="1966" w:type="dxa"/>
            <w:noWrap w:val="0"/>
            <w:vAlign w:val="center"/>
          </w:tcPr>
          <w:p w14:paraId="1EC00135">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备注</w:t>
            </w:r>
          </w:p>
        </w:tc>
      </w:tr>
      <w:tr w14:paraId="7B31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1" w:type="dxa"/>
            <w:noWrap w:val="0"/>
            <w:vAlign w:val="center"/>
          </w:tcPr>
          <w:p w14:paraId="46C1F9B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b/>
                <w:bCs/>
                <w:szCs w:val="21"/>
              </w:rPr>
            </w:pPr>
            <w:r>
              <w:rPr>
                <w:rFonts w:hint="eastAsia" w:ascii="宋体" w:hAnsi="宋体" w:cs="仿宋_GB2312"/>
                <w:b/>
                <w:bCs/>
                <w:szCs w:val="21"/>
              </w:rPr>
              <w:t>一</w:t>
            </w:r>
          </w:p>
        </w:tc>
        <w:tc>
          <w:tcPr>
            <w:tcW w:w="2388" w:type="dxa"/>
            <w:noWrap w:val="0"/>
            <w:vAlign w:val="center"/>
          </w:tcPr>
          <w:p w14:paraId="6D1904C6">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b/>
                <w:bCs/>
                <w:szCs w:val="21"/>
              </w:rPr>
            </w:pPr>
            <w:r>
              <w:rPr>
                <w:rFonts w:hint="eastAsia" w:ascii="宋体" w:hAnsi="宋体" w:cs="仿宋_GB2312"/>
                <w:b/>
                <w:bCs/>
                <w:szCs w:val="21"/>
              </w:rPr>
              <w:t>会计凭证类</w:t>
            </w:r>
          </w:p>
        </w:tc>
        <w:tc>
          <w:tcPr>
            <w:tcW w:w="1123" w:type="dxa"/>
            <w:noWrap w:val="0"/>
            <w:vAlign w:val="center"/>
          </w:tcPr>
          <w:p w14:paraId="2B935C2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p>
        </w:tc>
        <w:tc>
          <w:tcPr>
            <w:tcW w:w="1966" w:type="dxa"/>
            <w:noWrap w:val="0"/>
            <w:vAlign w:val="center"/>
          </w:tcPr>
          <w:p w14:paraId="0C0052B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p>
        </w:tc>
      </w:tr>
      <w:tr w14:paraId="2043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1" w:type="dxa"/>
            <w:noWrap w:val="0"/>
            <w:vAlign w:val="center"/>
          </w:tcPr>
          <w:p w14:paraId="5DBF41CA">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1</w:t>
            </w:r>
          </w:p>
        </w:tc>
        <w:tc>
          <w:tcPr>
            <w:tcW w:w="2388" w:type="dxa"/>
            <w:noWrap w:val="0"/>
            <w:vAlign w:val="center"/>
          </w:tcPr>
          <w:p w14:paraId="595B86F3">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原始凭证</w:t>
            </w:r>
          </w:p>
        </w:tc>
        <w:tc>
          <w:tcPr>
            <w:tcW w:w="1123" w:type="dxa"/>
            <w:noWrap w:val="0"/>
            <w:vAlign w:val="center"/>
          </w:tcPr>
          <w:p w14:paraId="5EE9FC9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15年</w:t>
            </w:r>
          </w:p>
        </w:tc>
        <w:tc>
          <w:tcPr>
            <w:tcW w:w="1966" w:type="dxa"/>
            <w:noWrap w:val="0"/>
            <w:vAlign w:val="center"/>
          </w:tcPr>
          <w:p w14:paraId="032A524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p>
        </w:tc>
      </w:tr>
      <w:tr w14:paraId="5693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1" w:type="dxa"/>
            <w:noWrap w:val="0"/>
            <w:vAlign w:val="center"/>
          </w:tcPr>
          <w:p w14:paraId="0307485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2</w:t>
            </w:r>
          </w:p>
        </w:tc>
        <w:tc>
          <w:tcPr>
            <w:tcW w:w="2388" w:type="dxa"/>
            <w:noWrap w:val="0"/>
            <w:vAlign w:val="center"/>
          </w:tcPr>
          <w:p w14:paraId="78844C3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记账凭证</w:t>
            </w:r>
          </w:p>
        </w:tc>
        <w:tc>
          <w:tcPr>
            <w:tcW w:w="1123" w:type="dxa"/>
            <w:noWrap w:val="0"/>
            <w:vAlign w:val="center"/>
          </w:tcPr>
          <w:p w14:paraId="7B96C8C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15年</w:t>
            </w:r>
          </w:p>
        </w:tc>
        <w:tc>
          <w:tcPr>
            <w:tcW w:w="1966" w:type="dxa"/>
            <w:noWrap w:val="0"/>
            <w:vAlign w:val="center"/>
          </w:tcPr>
          <w:p w14:paraId="53F0B1D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p>
        </w:tc>
      </w:tr>
      <w:tr w14:paraId="74D1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1" w:type="dxa"/>
            <w:noWrap w:val="0"/>
            <w:vAlign w:val="center"/>
          </w:tcPr>
          <w:p w14:paraId="493C5EA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3</w:t>
            </w:r>
          </w:p>
        </w:tc>
        <w:tc>
          <w:tcPr>
            <w:tcW w:w="2388" w:type="dxa"/>
            <w:noWrap w:val="0"/>
            <w:vAlign w:val="center"/>
          </w:tcPr>
          <w:p w14:paraId="3747915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汇总凭证</w:t>
            </w:r>
          </w:p>
        </w:tc>
        <w:tc>
          <w:tcPr>
            <w:tcW w:w="1123" w:type="dxa"/>
            <w:noWrap w:val="0"/>
            <w:vAlign w:val="center"/>
          </w:tcPr>
          <w:p w14:paraId="0137638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15年</w:t>
            </w:r>
          </w:p>
        </w:tc>
        <w:tc>
          <w:tcPr>
            <w:tcW w:w="1966" w:type="dxa"/>
            <w:noWrap w:val="0"/>
            <w:vAlign w:val="center"/>
          </w:tcPr>
          <w:p w14:paraId="1471D70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p>
        </w:tc>
      </w:tr>
      <w:tr w14:paraId="0E90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1" w:type="dxa"/>
            <w:noWrap w:val="0"/>
            <w:vAlign w:val="center"/>
          </w:tcPr>
          <w:p w14:paraId="6812E8D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b/>
                <w:bCs/>
                <w:szCs w:val="21"/>
              </w:rPr>
            </w:pPr>
            <w:r>
              <w:rPr>
                <w:rFonts w:hint="eastAsia" w:ascii="宋体" w:hAnsi="宋体" w:cs="仿宋_GB2312"/>
                <w:b/>
                <w:bCs/>
                <w:szCs w:val="21"/>
              </w:rPr>
              <w:t>二</w:t>
            </w:r>
          </w:p>
        </w:tc>
        <w:tc>
          <w:tcPr>
            <w:tcW w:w="2388" w:type="dxa"/>
            <w:noWrap w:val="0"/>
            <w:vAlign w:val="center"/>
          </w:tcPr>
          <w:p w14:paraId="7337041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b/>
                <w:bCs/>
                <w:szCs w:val="21"/>
              </w:rPr>
            </w:pPr>
            <w:r>
              <w:rPr>
                <w:rFonts w:hint="eastAsia" w:ascii="宋体" w:hAnsi="宋体" w:cs="仿宋_GB2312"/>
                <w:b/>
                <w:bCs/>
                <w:szCs w:val="21"/>
              </w:rPr>
              <w:t>会计账簿类</w:t>
            </w:r>
          </w:p>
        </w:tc>
        <w:tc>
          <w:tcPr>
            <w:tcW w:w="1123" w:type="dxa"/>
            <w:noWrap w:val="0"/>
            <w:vAlign w:val="center"/>
          </w:tcPr>
          <w:p w14:paraId="42832DF3">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p>
        </w:tc>
        <w:tc>
          <w:tcPr>
            <w:tcW w:w="1966" w:type="dxa"/>
            <w:noWrap w:val="0"/>
            <w:vAlign w:val="center"/>
          </w:tcPr>
          <w:p w14:paraId="0D62965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p>
        </w:tc>
      </w:tr>
      <w:tr w14:paraId="4241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1" w:type="dxa"/>
            <w:noWrap w:val="0"/>
            <w:vAlign w:val="center"/>
          </w:tcPr>
          <w:p w14:paraId="6F57F977">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4</w:t>
            </w:r>
          </w:p>
        </w:tc>
        <w:tc>
          <w:tcPr>
            <w:tcW w:w="2388" w:type="dxa"/>
            <w:noWrap w:val="0"/>
            <w:vAlign w:val="center"/>
          </w:tcPr>
          <w:p w14:paraId="7DF4F7A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总账</w:t>
            </w:r>
          </w:p>
        </w:tc>
        <w:tc>
          <w:tcPr>
            <w:tcW w:w="1123" w:type="dxa"/>
            <w:noWrap w:val="0"/>
            <w:vAlign w:val="center"/>
          </w:tcPr>
          <w:p w14:paraId="55B279D7">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15年</w:t>
            </w:r>
          </w:p>
        </w:tc>
        <w:tc>
          <w:tcPr>
            <w:tcW w:w="1966" w:type="dxa"/>
            <w:noWrap w:val="0"/>
            <w:vAlign w:val="center"/>
          </w:tcPr>
          <w:p w14:paraId="2ACAA26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包括科目余额表</w:t>
            </w:r>
          </w:p>
        </w:tc>
      </w:tr>
      <w:tr w14:paraId="2D04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1" w:type="dxa"/>
            <w:noWrap w:val="0"/>
            <w:vAlign w:val="center"/>
          </w:tcPr>
          <w:p w14:paraId="65D09E4B">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5</w:t>
            </w:r>
          </w:p>
        </w:tc>
        <w:tc>
          <w:tcPr>
            <w:tcW w:w="2388" w:type="dxa"/>
            <w:noWrap w:val="0"/>
            <w:vAlign w:val="center"/>
          </w:tcPr>
          <w:p w14:paraId="52A0C6D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明细账</w:t>
            </w:r>
          </w:p>
        </w:tc>
        <w:tc>
          <w:tcPr>
            <w:tcW w:w="1123" w:type="dxa"/>
            <w:noWrap w:val="0"/>
            <w:vAlign w:val="center"/>
          </w:tcPr>
          <w:p w14:paraId="3A9F559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15年</w:t>
            </w:r>
          </w:p>
        </w:tc>
        <w:tc>
          <w:tcPr>
            <w:tcW w:w="1966" w:type="dxa"/>
            <w:noWrap w:val="0"/>
            <w:vAlign w:val="center"/>
          </w:tcPr>
          <w:p w14:paraId="74E97816">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p>
        </w:tc>
      </w:tr>
      <w:tr w14:paraId="277E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1" w:type="dxa"/>
            <w:noWrap w:val="0"/>
            <w:vAlign w:val="center"/>
          </w:tcPr>
          <w:p w14:paraId="2298A21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6</w:t>
            </w:r>
          </w:p>
        </w:tc>
        <w:tc>
          <w:tcPr>
            <w:tcW w:w="2388" w:type="dxa"/>
            <w:noWrap w:val="0"/>
            <w:vAlign w:val="center"/>
          </w:tcPr>
          <w:p w14:paraId="37520B35">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日记账</w:t>
            </w:r>
          </w:p>
        </w:tc>
        <w:tc>
          <w:tcPr>
            <w:tcW w:w="1123" w:type="dxa"/>
            <w:noWrap w:val="0"/>
            <w:vAlign w:val="center"/>
          </w:tcPr>
          <w:p w14:paraId="08DBE255">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15年</w:t>
            </w:r>
          </w:p>
        </w:tc>
        <w:tc>
          <w:tcPr>
            <w:tcW w:w="1966" w:type="dxa"/>
            <w:noWrap w:val="0"/>
            <w:vAlign w:val="center"/>
          </w:tcPr>
          <w:p w14:paraId="33F8A72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p>
        </w:tc>
      </w:tr>
      <w:tr w14:paraId="7CB3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1" w:type="dxa"/>
            <w:noWrap w:val="0"/>
            <w:vAlign w:val="center"/>
          </w:tcPr>
          <w:p w14:paraId="5660A21A">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7</w:t>
            </w:r>
          </w:p>
        </w:tc>
        <w:tc>
          <w:tcPr>
            <w:tcW w:w="2388" w:type="dxa"/>
            <w:noWrap w:val="0"/>
            <w:vAlign w:val="center"/>
          </w:tcPr>
          <w:p w14:paraId="6045F08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现金和银行存款日记账</w:t>
            </w:r>
          </w:p>
        </w:tc>
        <w:tc>
          <w:tcPr>
            <w:tcW w:w="1123" w:type="dxa"/>
            <w:noWrap w:val="0"/>
            <w:vAlign w:val="center"/>
          </w:tcPr>
          <w:p w14:paraId="7DBD585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25年</w:t>
            </w:r>
          </w:p>
        </w:tc>
        <w:tc>
          <w:tcPr>
            <w:tcW w:w="1966" w:type="dxa"/>
            <w:noWrap w:val="0"/>
            <w:vAlign w:val="center"/>
          </w:tcPr>
          <w:p w14:paraId="27B866C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p>
        </w:tc>
      </w:tr>
      <w:tr w14:paraId="05A9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1" w:type="dxa"/>
            <w:noWrap w:val="0"/>
            <w:vAlign w:val="center"/>
          </w:tcPr>
          <w:p w14:paraId="68912835">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8</w:t>
            </w:r>
          </w:p>
        </w:tc>
        <w:tc>
          <w:tcPr>
            <w:tcW w:w="2388" w:type="dxa"/>
            <w:noWrap w:val="0"/>
            <w:vAlign w:val="center"/>
          </w:tcPr>
          <w:p w14:paraId="57304E2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固定资产卡片</w:t>
            </w:r>
          </w:p>
        </w:tc>
        <w:tc>
          <w:tcPr>
            <w:tcW w:w="1123" w:type="dxa"/>
            <w:noWrap w:val="0"/>
            <w:vAlign w:val="center"/>
          </w:tcPr>
          <w:p w14:paraId="0E9E203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p>
        </w:tc>
        <w:tc>
          <w:tcPr>
            <w:tcW w:w="1966" w:type="dxa"/>
            <w:noWrap w:val="0"/>
            <w:vAlign w:val="center"/>
          </w:tcPr>
          <w:p w14:paraId="3627FC6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固定资产报废清理后保管5年</w:t>
            </w:r>
          </w:p>
        </w:tc>
      </w:tr>
      <w:tr w14:paraId="24F0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1" w:type="dxa"/>
            <w:noWrap w:val="0"/>
            <w:vAlign w:val="center"/>
          </w:tcPr>
          <w:p w14:paraId="650D6D35">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9</w:t>
            </w:r>
          </w:p>
        </w:tc>
        <w:tc>
          <w:tcPr>
            <w:tcW w:w="2388" w:type="dxa"/>
            <w:noWrap w:val="0"/>
            <w:vAlign w:val="center"/>
          </w:tcPr>
          <w:p w14:paraId="2FB0EEF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辅助账簿</w:t>
            </w:r>
          </w:p>
        </w:tc>
        <w:tc>
          <w:tcPr>
            <w:tcW w:w="1123" w:type="dxa"/>
            <w:noWrap w:val="0"/>
            <w:vAlign w:val="center"/>
          </w:tcPr>
          <w:p w14:paraId="6D843A96">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15年</w:t>
            </w:r>
          </w:p>
        </w:tc>
        <w:tc>
          <w:tcPr>
            <w:tcW w:w="1966" w:type="dxa"/>
            <w:noWrap w:val="0"/>
            <w:vAlign w:val="center"/>
          </w:tcPr>
          <w:p w14:paraId="58794E9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p>
        </w:tc>
      </w:tr>
      <w:tr w14:paraId="6831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1" w:type="dxa"/>
            <w:noWrap w:val="0"/>
            <w:vAlign w:val="center"/>
          </w:tcPr>
          <w:p w14:paraId="257C78CD">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b/>
                <w:bCs/>
                <w:szCs w:val="21"/>
              </w:rPr>
            </w:pPr>
            <w:r>
              <w:rPr>
                <w:rFonts w:hint="eastAsia" w:ascii="宋体" w:hAnsi="宋体" w:cs="仿宋_GB2312"/>
                <w:b/>
                <w:bCs/>
                <w:szCs w:val="21"/>
              </w:rPr>
              <w:t>三</w:t>
            </w:r>
          </w:p>
        </w:tc>
        <w:tc>
          <w:tcPr>
            <w:tcW w:w="2388" w:type="dxa"/>
            <w:noWrap w:val="0"/>
            <w:vAlign w:val="center"/>
          </w:tcPr>
          <w:p w14:paraId="15EC640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b/>
                <w:bCs/>
                <w:szCs w:val="21"/>
              </w:rPr>
            </w:pPr>
            <w:r>
              <w:rPr>
                <w:rFonts w:hint="eastAsia" w:ascii="宋体" w:hAnsi="宋体" w:cs="仿宋_GB2312"/>
                <w:b/>
                <w:bCs/>
                <w:szCs w:val="21"/>
              </w:rPr>
              <w:t>财务报告类</w:t>
            </w:r>
          </w:p>
        </w:tc>
        <w:tc>
          <w:tcPr>
            <w:tcW w:w="1123" w:type="dxa"/>
            <w:noWrap w:val="0"/>
            <w:vAlign w:val="center"/>
          </w:tcPr>
          <w:p w14:paraId="6988A89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p>
        </w:tc>
        <w:tc>
          <w:tcPr>
            <w:tcW w:w="1966" w:type="dxa"/>
            <w:noWrap w:val="0"/>
            <w:vAlign w:val="center"/>
          </w:tcPr>
          <w:p w14:paraId="370F57FE">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p>
        </w:tc>
      </w:tr>
      <w:tr w14:paraId="15DB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1" w:type="dxa"/>
            <w:noWrap w:val="0"/>
            <w:vAlign w:val="center"/>
          </w:tcPr>
          <w:p w14:paraId="2292A29E">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10</w:t>
            </w:r>
          </w:p>
        </w:tc>
        <w:tc>
          <w:tcPr>
            <w:tcW w:w="2388" w:type="dxa"/>
            <w:noWrap w:val="0"/>
            <w:vAlign w:val="center"/>
          </w:tcPr>
          <w:p w14:paraId="607B33A5">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月季度财务报告</w:t>
            </w:r>
          </w:p>
        </w:tc>
        <w:tc>
          <w:tcPr>
            <w:tcW w:w="1123" w:type="dxa"/>
            <w:noWrap w:val="0"/>
            <w:vAlign w:val="center"/>
          </w:tcPr>
          <w:p w14:paraId="4B6C027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3年</w:t>
            </w:r>
          </w:p>
        </w:tc>
        <w:tc>
          <w:tcPr>
            <w:tcW w:w="1966" w:type="dxa"/>
            <w:noWrap w:val="0"/>
            <w:vAlign w:val="center"/>
          </w:tcPr>
          <w:p w14:paraId="3699621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包括文字分析</w:t>
            </w:r>
          </w:p>
        </w:tc>
      </w:tr>
      <w:tr w14:paraId="2ACC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1" w:type="dxa"/>
            <w:noWrap w:val="0"/>
            <w:vAlign w:val="center"/>
          </w:tcPr>
          <w:p w14:paraId="7BCFAD4D">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11</w:t>
            </w:r>
          </w:p>
        </w:tc>
        <w:tc>
          <w:tcPr>
            <w:tcW w:w="2388" w:type="dxa"/>
            <w:noWrap w:val="0"/>
            <w:vAlign w:val="center"/>
          </w:tcPr>
          <w:p w14:paraId="52BF367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年度财务报告（决算）</w:t>
            </w:r>
          </w:p>
        </w:tc>
        <w:tc>
          <w:tcPr>
            <w:tcW w:w="1123" w:type="dxa"/>
            <w:noWrap w:val="0"/>
            <w:vAlign w:val="center"/>
          </w:tcPr>
          <w:p w14:paraId="14291FF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永久</w:t>
            </w:r>
          </w:p>
        </w:tc>
        <w:tc>
          <w:tcPr>
            <w:tcW w:w="1966" w:type="dxa"/>
            <w:noWrap w:val="0"/>
            <w:vAlign w:val="center"/>
          </w:tcPr>
          <w:p w14:paraId="5778D1D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包括文字分析</w:t>
            </w:r>
          </w:p>
        </w:tc>
      </w:tr>
      <w:tr w14:paraId="3A11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1" w:type="dxa"/>
            <w:noWrap w:val="0"/>
            <w:vAlign w:val="center"/>
          </w:tcPr>
          <w:p w14:paraId="04D66EF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b/>
                <w:bCs/>
                <w:szCs w:val="21"/>
              </w:rPr>
            </w:pPr>
            <w:r>
              <w:rPr>
                <w:rFonts w:hint="eastAsia" w:ascii="宋体" w:hAnsi="宋体" w:cs="仿宋_GB2312"/>
                <w:b/>
                <w:bCs/>
                <w:szCs w:val="21"/>
              </w:rPr>
              <w:t>四</w:t>
            </w:r>
          </w:p>
        </w:tc>
        <w:tc>
          <w:tcPr>
            <w:tcW w:w="2388" w:type="dxa"/>
            <w:noWrap w:val="0"/>
            <w:vAlign w:val="center"/>
          </w:tcPr>
          <w:p w14:paraId="35FC269A">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b/>
                <w:bCs/>
                <w:szCs w:val="21"/>
              </w:rPr>
            </w:pPr>
            <w:r>
              <w:rPr>
                <w:rFonts w:hint="eastAsia" w:ascii="宋体" w:hAnsi="宋体" w:cs="仿宋_GB2312"/>
                <w:b/>
                <w:bCs/>
                <w:szCs w:val="21"/>
              </w:rPr>
              <w:t>其他类</w:t>
            </w:r>
          </w:p>
        </w:tc>
        <w:tc>
          <w:tcPr>
            <w:tcW w:w="1123" w:type="dxa"/>
            <w:noWrap w:val="0"/>
            <w:vAlign w:val="center"/>
          </w:tcPr>
          <w:p w14:paraId="5B70DC3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p>
        </w:tc>
        <w:tc>
          <w:tcPr>
            <w:tcW w:w="1966" w:type="dxa"/>
            <w:noWrap w:val="0"/>
            <w:vAlign w:val="center"/>
          </w:tcPr>
          <w:p w14:paraId="6B40B12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p>
        </w:tc>
      </w:tr>
      <w:tr w14:paraId="7446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1" w:type="dxa"/>
            <w:noWrap w:val="0"/>
            <w:vAlign w:val="center"/>
          </w:tcPr>
          <w:p w14:paraId="48A5676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12</w:t>
            </w:r>
          </w:p>
        </w:tc>
        <w:tc>
          <w:tcPr>
            <w:tcW w:w="2388" w:type="dxa"/>
            <w:noWrap w:val="0"/>
            <w:vAlign w:val="center"/>
          </w:tcPr>
          <w:p w14:paraId="0D1FC51E">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会计移交清册</w:t>
            </w:r>
          </w:p>
        </w:tc>
        <w:tc>
          <w:tcPr>
            <w:tcW w:w="1123" w:type="dxa"/>
            <w:noWrap w:val="0"/>
            <w:vAlign w:val="center"/>
          </w:tcPr>
          <w:p w14:paraId="247B205A">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15年</w:t>
            </w:r>
          </w:p>
        </w:tc>
        <w:tc>
          <w:tcPr>
            <w:tcW w:w="1966" w:type="dxa"/>
            <w:noWrap w:val="0"/>
            <w:vAlign w:val="center"/>
          </w:tcPr>
          <w:p w14:paraId="3D9952C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p>
        </w:tc>
      </w:tr>
      <w:tr w14:paraId="008F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1" w:type="dxa"/>
            <w:noWrap w:val="0"/>
            <w:vAlign w:val="center"/>
          </w:tcPr>
          <w:p w14:paraId="0328717C">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13</w:t>
            </w:r>
          </w:p>
        </w:tc>
        <w:tc>
          <w:tcPr>
            <w:tcW w:w="2388" w:type="dxa"/>
            <w:noWrap w:val="0"/>
            <w:vAlign w:val="center"/>
          </w:tcPr>
          <w:p w14:paraId="1271788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会计档案保管清册</w:t>
            </w:r>
          </w:p>
        </w:tc>
        <w:tc>
          <w:tcPr>
            <w:tcW w:w="1123" w:type="dxa"/>
            <w:noWrap w:val="0"/>
            <w:vAlign w:val="center"/>
          </w:tcPr>
          <w:p w14:paraId="0E09D53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永久</w:t>
            </w:r>
          </w:p>
        </w:tc>
        <w:tc>
          <w:tcPr>
            <w:tcW w:w="1966" w:type="dxa"/>
            <w:noWrap w:val="0"/>
            <w:vAlign w:val="center"/>
          </w:tcPr>
          <w:p w14:paraId="0EFBEA25">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p>
        </w:tc>
      </w:tr>
      <w:tr w14:paraId="0B84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1" w:type="dxa"/>
            <w:noWrap w:val="0"/>
            <w:vAlign w:val="center"/>
          </w:tcPr>
          <w:p w14:paraId="42D4C64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14</w:t>
            </w:r>
          </w:p>
        </w:tc>
        <w:tc>
          <w:tcPr>
            <w:tcW w:w="2388" w:type="dxa"/>
            <w:noWrap w:val="0"/>
            <w:vAlign w:val="center"/>
          </w:tcPr>
          <w:p w14:paraId="156278DD">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会计档案移交清册</w:t>
            </w:r>
          </w:p>
        </w:tc>
        <w:tc>
          <w:tcPr>
            <w:tcW w:w="1123" w:type="dxa"/>
            <w:noWrap w:val="0"/>
            <w:vAlign w:val="center"/>
          </w:tcPr>
          <w:p w14:paraId="30134E2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永久</w:t>
            </w:r>
          </w:p>
        </w:tc>
        <w:tc>
          <w:tcPr>
            <w:tcW w:w="1966" w:type="dxa"/>
            <w:noWrap w:val="0"/>
            <w:vAlign w:val="center"/>
          </w:tcPr>
          <w:p w14:paraId="148C15BE">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p>
        </w:tc>
      </w:tr>
      <w:tr w14:paraId="3D6E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1" w:type="dxa"/>
            <w:noWrap w:val="0"/>
            <w:vAlign w:val="center"/>
          </w:tcPr>
          <w:p w14:paraId="6F3D83F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15</w:t>
            </w:r>
          </w:p>
        </w:tc>
        <w:tc>
          <w:tcPr>
            <w:tcW w:w="2388" w:type="dxa"/>
            <w:noWrap w:val="0"/>
            <w:vAlign w:val="center"/>
          </w:tcPr>
          <w:p w14:paraId="5C99303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银行余额调节表</w:t>
            </w:r>
          </w:p>
        </w:tc>
        <w:tc>
          <w:tcPr>
            <w:tcW w:w="1123" w:type="dxa"/>
            <w:noWrap w:val="0"/>
            <w:vAlign w:val="center"/>
          </w:tcPr>
          <w:p w14:paraId="24155B55">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5年</w:t>
            </w:r>
          </w:p>
        </w:tc>
        <w:tc>
          <w:tcPr>
            <w:tcW w:w="1966" w:type="dxa"/>
            <w:noWrap w:val="0"/>
            <w:vAlign w:val="center"/>
          </w:tcPr>
          <w:p w14:paraId="346DFC3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p>
        </w:tc>
      </w:tr>
      <w:tr w14:paraId="0D29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1" w:type="dxa"/>
            <w:noWrap w:val="0"/>
            <w:vAlign w:val="center"/>
          </w:tcPr>
          <w:p w14:paraId="7F32D00D">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16</w:t>
            </w:r>
          </w:p>
        </w:tc>
        <w:tc>
          <w:tcPr>
            <w:tcW w:w="2388" w:type="dxa"/>
            <w:noWrap w:val="0"/>
            <w:vAlign w:val="center"/>
          </w:tcPr>
          <w:p w14:paraId="1147C9A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银行对账单</w:t>
            </w:r>
          </w:p>
        </w:tc>
        <w:tc>
          <w:tcPr>
            <w:tcW w:w="1123" w:type="dxa"/>
            <w:noWrap w:val="0"/>
            <w:vAlign w:val="center"/>
          </w:tcPr>
          <w:p w14:paraId="5B08D8D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r>
              <w:rPr>
                <w:rFonts w:hint="eastAsia" w:ascii="宋体" w:hAnsi="宋体" w:cs="仿宋_GB2312"/>
                <w:szCs w:val="21"/>
              </w:rPr>
              <w:t>5年</w:t>
            </w:r>
          </w:p>
        </w:tc>
        <w:tc>
          <w:tcPr>
            <w:tcW w:w="1966" w:type="dxa"/>
            <w:noWrap w:val="0"/>
            <w:vAlign w:val="center"/>
          </w:tcPr>
          <w:p w14:paraId="24E0A9C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cs="仿宋_GB2312"/>
                <w:szCs w:val="21"/>
              </w:rPr>
            </w:pPr>
          </w:p>
        </w:tc>
      </w:tr>
    </w:tbl>
    <w:p w14:paraId="1863F288">
      <w:pPr>
        <w:bidi w:val="0"/>
        <w:ind w:left="0" w:leftChars="0" w:firstLine="0" w:firstLineChars="0"/>
        <w:rPr>
          <w:rFonts w:hint="eastAsia"/>
        </w:rPr>
      </w:pPr>
    </w:p>
    <w:p w14:paraId="6F5D32DE">
      <w:pPr>
        <w:adjustRightInd w:val="0"/>
        <w:snapToGrid w:val="0"/>
        <w:spacing w:line="300" w:lineRule="exact"/>
        <w:ind w:firstLine="200"/>
        <w:jc w:val="center"/>
        <w:rPr>
          <w:rFonts w:hint="eastAsia" w:ascii="宋体" w:hAnsi="宋体" w:cs="宋体"/>
          <w:b/>
          <w:bCs/>
          <w:szCs w:val="21"/>
        </w:rPr>
      </w:pPr>
    </w:p>
    <w:p w14:paraId="595D97EB">
      <w:pPr>
        <w:ind w:left="420"/>
        <w:jc w:val="center"/>
        <w:rPr>
          <w:rFonts w:hint="eastAsia" w:ascii="宋体" w:hAnsi="宋体" w:cs="宋体"/>
          <w:b/>
          <w:bCs/>
          <w:sz w:val="44"/>
          <w:szCs w:val="44"/>
        </w:rPr>
      </w:pPr>
    </w:p>
    <w:p w14:paraId="35381A2D">
      <w:pPr>
        <w:jc w:val="left"/>
        <w:rPr>
          <w:rFonts w:hint="eastAsia" w:ascii="仿宋_GB2312" w:eastAsia="仿宋_GB2312" w:cs="仿宋_GB2312"/>
          <w:sz w:val="28"/>
        </w:rPr>
      </w:pPr>
    </w:p>
    <w:p w14:paraId="6FDB17BC">
      <w:pPr>
        <w:ind w:left="0" w:leftChars="0" w:firstLine="0" w:firstLineChars="0"/>
        <w:jc w:val="left"/>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809CD"/>
    <w:rsid w:val="287C0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723" w:firstLineChars="200"/>
      <w:jc w:val="both"/>
    </w:pPr>
    <w:rPr>
      <w:rFonts w:ascii="Times New Roman" w:hAnsi="Times New Roman" w:eastAsia="宋体" w:cs="Times New Roman"/>
      <w:kern w:val="2"/>
      <w:sz w:val="21"/>
      <w:szCs w:val="24"/>
      <w:lang w:val="en-US" w:eastAsia="zh-CN" w:bidi="ar-SA"/>
    </w:rPr>
  </w:style>
  <w:style w:type="paragraph" w:styleId="2">
    <w:name w:val="heading 2"/>
    <w:basedOn w:val="1"/>
    <w:qFormat/>
    <w:uiPriority w:val="0"/>
    <w:pPr>
      <w:widowControl/>
      <w:spacing w:beforeAutospacing="0" w:afterAutospacing="0" w:line="600" w:lineRule="exact"/>
      <w:ind w:firstLine="0" w:firstLineChars="0"/>
      <w:jc w:val="center"/>
      <w:outlineLvl w:val="1"/>
    </w:pPr>
    <w:rPr>
      <w:rFonts w:ascii="宋体" w:hAnsi="宋体" w:cs="宋体"/>
      <w:b/>
      <w:bCs/>
      <w:color w:val="000000"/>
      <w:kern w:val="0"/>
      <w:sz w:val="36"/>
      <w:szCs w:val="36"/>
    </w:rPr>
  </w:style>
  <w:style w:type="paragraph" w:styleId="3">
    <w:name w:val="heading 4"/>
    <w:basedOn w:val="1"/>
    <w:next w:val="1"/>
    <w:unhideWhenUsed/>
    <w:qFormat/>
    <w:uiPriority w:val="0"/>
    <w:pPr>
      <w:keepNext/>
      <w:keepLines/>
      <w:spacing w:beforeLines="0" w:beforeAutospacing="0" w:afterLines="0" w:afterAutospacing="0" w:line="500" w:lineRule="exact"/>
      <w:ind w:firstLine="0" w:firstLineChars="0"/>
      <w:jc w:val="center"/>
      <w:outlineLvl w:val="3"/>
    </w:pPr>
    <w:rPr>
      <w:rFonts w:ascii="Times New Roman" w:hAnsi="Times New Roman" w:eastAsia="楷体_GB2312"/>
      <w:sz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2393</Words>
  <Characters>2419</Characters>
  <Lines>0</Lines>
  <Paragraphs>0</Paragraphs>
  <TotalTime>0</TotalTime>
  <ScaleCrop>false</ScaleCrop>
  <LinksUpToDate>false</LinksUpToDate>
  <CharactersWithSpaces>2447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2025-05-12T02:23:00Z</dcterms:created>
  <dc:creator>Administrator</dc:creator>
  <cp:lastModifiedBy>Administrator</cp:lastModifiedBy>
  <dcterms:modified xsi:type="dcterms:W3CDTF">2025-05-12T02:26:24Z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eyJoZGlkIjoiY2E5OTM3YmU1OWI3N2Y4OWQ0MWRmZjI2NDIyZTBkNWYifQ==</vt:lpwstr>
  </property>
  <property fmtid="{D5CDD505-2E9C-101B-9397-08002B2CF9AE}" pid="4" name="ICV">
    <vt:lpwstr>5D88B1340D1F49928CAD95472AD75A98_12</vt:lpwstr>
  </property>
</Properties>
</file>